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A7B2D0">
      <w:pPr>
        <w:keepNext w:val="0"/>
        <w:keepLines w:val="0"/>
        <w:pageBreakBefore w:val="0"/>
        <w:widowControl w:val="0"/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after="0"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eastAsia="黑体"/>
          <w:color w:val="000000"/>
          <w:kern w:val="0"/>
          <w:sz w:val="32"/>
          <w:szCs w:val="32"/>
        </w:rPr>
      </w:pPr>
      <w:r>
        <w:rPr>
          <w:rFonts w:eastAsia="黑体"/>
          <w:color w:val="000000"/>
          <w:kern w:val="0"/>
          <w:sz w:val="32"/>
          <w:szCs w:val="32"/>
        </w:rPr>
        <w:t>附件1</w:t>
      </w:r>
    </w:p>
    <w:p w14:paraId="1EC5CF0A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before="312" w:beforeLines="100" w:after="312" w:afterLines="10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eastAsia="zh-CN"/>
        </w:rPr>
        <w:t>浙江省已获批地方创新子项目信息一览表</w:t>
      </w:r>
    </w:p>
    <w:p w14:paraId="37BE2F58">
      <w:pPr>
        <w:keepNext w:val="0"/>
        <w:keepLines w:val="0"/>
        <w:pageBreakBefore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一、服务浙江省“一流学科”建设工程项目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8"/>
        <w:gridCol w:w="3079"/>
        <w:gridCol w:w="2483"/>
      </w:tblGrid>
      <w:tr w14:paraId="6CED02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3178" w:type="dxa"/>
            <w:vAlign w:val="center"/>
          </w:tcPr>
          <w:p w14:paraId="0368D1E9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bookmarkStart w:id="0" w:name="OLE_LINK2"/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实施高校（不仅限于）</w:t>
            </w:r>
          </w:p>
        </w:tc>
        <w:tc>
          <w:tcPr>
            <w:tcW w:w="3079" w:type="dxa"/>
            <w:vAlign w:val="center"/>
          </w:tcPr>
          <w:p w14:paraId="447E7596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留学专业</w:t>
            </w:r>
          </w:p>
        </w:tc>
        <w:tc>
          <w:tcPr>
            <w:tcW w:w="2483" w:type="dxa"/>
            <w:vAlign w:val="center"/>
          </w:tcPr>
          <w:p w14:paraId="6164647C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val="en-US" w:eastAsia="zh-CN"/>
              </w:rPr>
              <w:t>年度选派名额</w:t>
            </w:r>
          </w:p>
        </w:tc>
      </w:tr>
      <w:tr w14:paraId="5AB4F2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  <w:jc w:val="center"/>
        </w:trPr>
        <w:tc>
          <w:tcPr>
            <w:tcW w:w="3178" w:type="dxa"/>
            <w:vAlign w:val="center"/>
          </w:tcPr>
          <w:p w14:paraId="495A834C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浙江工业大学、</w:t>
            </w:r>
          </w:p>
          <w:p w14:paraId="51D3EEB1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浙江科技大学</w:t>
            </w:r>
          </w:p>
        </w:tc>
        <w:tc>
          <w:tcPr>
            <w:tcW w:w="3079" w:type="dxa"/>
            <w:vMerge w:val="restart"/>
            <w:vAlign w:val="center"/>
          </w:tcPr>
          <w:p w14:paraId="302D6747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控制科学与工程</w:t>
            </w: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、环境科学与工程、化学、食品科学与工程、临床医学</w:t>
            </w:r>
          </w:p>
        </w:tc>
        <w:tc>
          <w:tcPr>
            <w:tcW w:w="2483" w:type="dxa"/>
            <w:vMerge w:val="restart"/>
            <w:vAlign w:val="center"/>
          </w:tcPr>
          <w:p w14:paraId="03E28A3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</w:tr>
      <w:tr w14:paraId="70FA38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  <w:jc w:val="center"/>
        </w:trPr>
        <w:tc>
          <w:tcPr>
            <w:tcW w:w="3178" w:type="dxa"/>
            <w:vAlign w:val="center"/>
          </w:tcPr>
          <w:p w14:paraId="4DD1857E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浙江工业大学、</w:t>
            </w:r>
          </w:p>
          <w:p w14:paraId="249285CE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浙江树人学院</w:t>
            </w:r>
          </w:p>
        </w:tc>
        <w:tc>
          <w:tcPr>
            <w:tcW w:w="3079" w:type="dxa"/>
            <w:vMerge w:val="continue"/>
            <w:vAlign w:val="center"/>
          </w:tcPr>
          <w:p w14:paraId="62EC1116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483" w:type="dxa"/>
            <w:vMerge w:val="continue"/>
            <w:vAlign w:val="center"/>
          </w:tcPr>
          <w:p w14:paraId="70C0D90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6A9CF6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2" w:hRule="atLeast"/>
          <w:jc w:val="center"/>
        </w:trPr>
        <w:tc>
          <w:tcPr>
            <w:tcW w:w="3178" w:type="dxa"/>
            <w:vAlign w:val="center"/>
          </w:tcPr>
          <w:p w14:paraId="1D88E197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杭州师范大学、</w:t>
            </w:r>
          </w:p>
          <w:p w14:paraId="2488083F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衢州学院、</w:t>
            </w:r>
          </w:p>
          <w:p w14:paraId="3E83B9A9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绍兴文理学院</w:t>
            </w:r>
          </w:p>
        </w:tc>
        <w:tc>
          <w:tcPr>
            <w:tcW w:w="3079" w:type="dxa"/>
            <w:vMerge w:val="continue"/>
            <w:vAlign w:val="center"/>
          </w:tcPr>
          <w:p w14:paraId="1CD499AE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483" w:type="dxa"/>
            <w:vMerge w:val="continue"/>
            <w:vAlign w:val="center"/>
          </w:tcPr>
          <w:p w14:paraId="31C366D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19FE9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  <w:jc w:val="center"/>
        </w:trPr>
        <w:tc>
          <w:tcPr>
            <w:tcW w:w="3178" w:type="dxa"/>
            <w:vAlign w:val="center"/>
          </w:tcPr>
          <w:p w14:paraId="659B2C0C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浙江工商大学</w:t>
            </w:r>
          </w:p>
        </w:tc>
        <w:tc>
          <w:tcPr>
            <w:tcW w:w="3079" w:type="dxa"/>
            <w:vMerge w:val="continue"/>
            <w:vAlign w:val="center"/>
          </w:tcPr>
          <w:p w14:paraId="6F067A28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483" w:type="dxa"/>
            <w:vMerge w:val="continue"/>
            <w:vAlign w:val="center"/>
          </w:tcPr>
          <w:p w14:paraId="7AD67D2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4316BA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3178" w:type="dxa"/>
            <w:vAlign w:val="center"/>
          </w:tcPr>
          <w:p w14:paraId="56F16B15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温州医科大学</w:t>
            </w:r>
          </w:p>
        </w:tc>
        <w:tc>
          <w:tcPr>
            <w:tcW w:w="3079" w:type="dxa"/>
            <w:vMerge w:val="continue"/>
            <w:vAlign w:val="center"/>
          </w:tcPr>
          <w:p w14:paraId="04F2E875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483" w:type="dxa"/>
            <w:vMerge w:val="continue"/>
            <w:vAlign w:val="center"/>
          </w:tcPr>
          <w:p w14:paraId="26517DB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bookmarkEnd w:id="0"/>
    </w:tbl>
    <w:p w14:paraId="3670DB17">
      <w:pPr>
        <w:keepNext w:val="0"/>
        <w:keepLines w:val="0"/>
        <w:pageBreakBefore w:val="0"/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eastAsia="zh-CN"/>
        </w:rPr>
      </w:pPr>
    </w:p>
    <w:p w14:paraId="7316E799">
      <w:pPr>
        <w:keepNext w:val="0"/>
        <w:keepLines w:val="0"/>
        <w:pageBreakBefore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二、服务浙江省“高水平创新团队建设”项目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7"/>
        <w:gridCol w:w="2981"/>
        <w:gridCol w:w="2712"/>
      </w:tblGrid>
      <w:tr w14:paraId="266A73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  <w:jc w:val="center"/>
        </w:trPr>
        <w:tc>
          <w:tcPr>
            <w:tcW w:w="3187" w:type="dxa"/>
            <w:vAlign w:val="center"/>
          </w:tcPr>
          <w:p w14:paraId="1FF997DD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实施高校（不仅限于）</w:t>
            </w:r>
          </w:p>
        </w:tc>
        <w:tc>
          <w:tcPr>
            <w:tcW w:w="2981" w:type="dxa"/>
            <w:vAlign w:val="center"/>
          </w:tcPr>
          <w:p w14:paraId="65EE206E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留学专业</w:t>
            </w:r>
          </w:p>
        </w:tc>
        <w:tc>
          <w:tcPr>
            <w:tcW w:w="2712" w:type="dxa"/>
            <w:vAlign w:val="center"/>
          </w:tcPr>
          <w:p w14:paraId="4770C34E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val="en-US" w:eastAsia="zh-CN"/>
              </w:rPr>
              <w:t>年度选派名额</w:t>
            </w:r>
          </w:p>
        </w:tc>
      </w:tr>
      <w:tr w14:paraId="23B4C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0" w:hRule="atLeast"/>
          <w:jc w:val="center"/>
        </w:trPr>
        <w:tc>
          <w:tcPr>
            <w:tcW w:w="3187" w:type="dxa"/>
            <w:vAlign w:val="center"/>
          </w:tcPr>
          <w:p w14:paraId="704BC49F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中国计量大学</w:t>
            </w:r>
          </w:p>
        </w:tc>
        <w:tc>
          <w:tcPr>
            <w:tcW w:w="2981" w:type="dxa"/>
            <w:vAlign w:val="center"/>
          </w:tcPr>
          <w:p w14:paraId="2904ABF4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材料科学与工程</w:t>
            </w:r>
          </w:p>
        </w:tc>
        <w:tc>
          <w:tcPr>
            <w:tcW w:w="2712" w:type="dxa"/>
            <w:vAlign w:val="center"/>
          </w:tcPr>
          <w:p w14:paraId="3A09E90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</w:tr>
    </w:tbl>
    <w:p w14:paraId="5A6827F5">
      <w:pPr>
        <w:keepNext w:val="0"/>
        <w:keepLines w:val="0"/>
        <w:pageBreakBefore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eastAsia="zh-CN"/>
        </w:rPr>
      </w:pPr>
    </w:p>
    <w:p w14:paraId="3452809B">
      <w:pPr>
        <w:keepNext w:val="0"/>
        <w:keepLines w:val="0"/>
        <w:pageBreakBefore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eastAsia="zh-CN"/>
        </w:rPr>
      </w:pPr>
    </w:p>
    <w:p w14:paraId="4CA7ED5D">
      <w:pPr>
        <w:keepNext w:val="0"/>
        <w:keepLines w:val="0"/>
        <w:pageBreakBefore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eastAsia="zh-CN"/>
        </w:rPr>
      </w:pPr>
    </w:p>
    <w:p w14:paraId="7A9F3040">
      <w:pPr>
        <w:keepNext w:val="0"/>
        <w:keepLines w:val="0"/>
        <w:pageBreakBefore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eastAsia="黑体"/>
          <w:color w:val="000000"/>
          <w:kern w:val="0"/>
          <w:sz w:val="32"/>
          <w:szCs w:val="32"/>
          <w:lang w:eastAsia="zh-CN"/>
        </w:rPr>
        <w:t>三、浙江省数字经济“一号工程”</w:t>
      </w:r>
      <w:r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  <w:t>2.0版特别人才培养项目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38"/>
        <w:gridCol w:w="3455"/>
        <w:gridCol w:w="2447"/>
      </w:tblGrid>
      <w:tr w14:paraId="16CD65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3238" w:type="dxa"/>
            <w:vAlign w:val="center"/>
          </w:tcPr>
          <w:p w14:paraId="261E0D51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实施高校（不仅限于）</w:t>
            </w:r>
          </w:p>
        </w:tc>
        <w:tc>
          <w:tcPr>
            <w:tcW w:w="3455" w:type="dxa"/>
            <w:vAlign w:val="center"/>
          </w:tcPr>
          <w:p w14:paraId="2DE78617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留学专业</w:t>
            </w:r>
          </w:p>
        </w:tc>
        <w:tc>
          <w:tcPr>
            <w:tcW w:w="2447" w:type="dxa"/>
            <w:vAlign w:val="center"/>
          </w:tcPr>
          <w:p w14:paraId="5B8D0FD7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val="en-US" w:eastAsia="zh-CN"/>
              </w:rPr>
              <w:t>年度选派名额</w:t>
            </w:r>
          </w:p>
        </w:tc>
      </w:tr>
      <w:tr w14:paraId="527477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3238" w:type="dxa"/>
            <w:vAlign w:val="center"/>
          </w:tcPr>
          <w:p w14:paraId="3AF7813A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浙江工商大学</w:t>
            </w:r>
          </w:p>
        </w:tc>
        <w:tc>
          <w:tcPr>
            <w:tcW w:w="3455" w:type="dxa"/>
            <w:vMerge w:val="restart"/>
            <w:vAlign w:val="center"/>
          </w:tcPr>
          <w:p w14:paraId="5C447060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信息与通信工程、</w:t>
            </w:r>
            <w:r>
              <w:rPr>
                <w:rFonts w:hint="eastAsia" w:eastAsia="仿宋_GB2312" w:cs="Times New Roman"/>
                <w:color w:val="000000"/>
                <w:spacing w:val="-11"/>
                <w:kern w:val="0"/>
                <w:sz w:val="32"/>
                <w:szCs w:val="32"/>
                <w:vertAlign w:val="baseline"/>
                <w:lang w:eastAsia="zh-CN"/>
              </w:rPr>
              <w:t>数据科学与大数据技术、</w:t>
            </w: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计算机科学与技术、人工智能、网络与新媒体</w:t>
            </w:r>
          </w:p>
        </w:tc>
        <w:tc>
          <w:tcPr>
            <w:tcW w:w="2447" w:type="dxa"/>
            <w:vMerge w:val="restart"/>
            <w:vAlign w:val="center"/>
          </w:tcPr>
          <w:p w14:paraId="2EA15ED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</w:tr>
      <w:tr w14:paraId="1A1CA0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3238" w:type="dxa"/>
            <w:vAlign w:val="center"/>
          </w:tcPr>
          <w:p w14:paraId="6377E4CB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浙江科技大学</w:t>
            </w:r>
          </w:p>
        </w:tc>
        <w:tc>
          <w:tcPr>
            <w:tcW w:w="3455" w:type="dxa"/>
            <w:vMerge w:val="continue"/>
            <w:vAlign w:val="center"/>
          </w:tcPr>
          <w:p w14:paraId="7B8327CD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447" w:type="dxa"/>
            <w:vMerge w:val="continue"/>
            <w:vAlign w:val="center"/>
          </w:tcPr>
          <w:p w14:paraId="7F95BE8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111B6C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  <w:jc w:val="center"/>
        </w:trPr>
        <w:tc>
          <w:tcPr>
            <w:tcW w:w="3238" w:type="dxa"/>
            <w:vAlign w:val="center"/>
          </w:tcPr>
          <w:p w14:paraId="19C4DB6B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浙江万里学院</w:t>
            </w:r>
          </w:p>
        </w:tc>
        <w:tc>
          <w:tcPr>
            <w:tcW w:w="3455" w:type="dxa"/>
            <w:vMerge w:val="continue"/>
            <w:vAlign w:val="center"/>
          </w:tcPr>
          <w:p w14:paraId="34DDA959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447" w:type="dxa"/>
            <w:vMerge w:val="continue"/>
            <w:vAlign w:val="center"/>
          </w:tcPr>
          <w:p w14:paraId="22574F4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4216E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3238" w:type="dxa"/>
            <w:vAlign w:val="center"/>
          </w:tcPr>
          <w:p w14:paraId="6B7D857E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衢州学院</w:t>
            </w:r>
          </w:p>
        </w:tc>
        <w:tc>
          <w:tcPr>
            <w:tcW w:w="3455" w:type="dxa"/>
            <w:vMerge w:val="continue"/>
            <w:vAlign w:val="center"/>
          </w:tcPr>
          <w:p w14:paraId="7AB9F143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447" w:type="dxa"/>
            <w:vMerge w:val="continue"/>
            <w:vAlign w:val="center"/>
          </w:tcPr>
          <w:p w14:paraId="4A4652E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6DF35F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238" w:type="dxa"/>
            <w:vAlign w:val="center"/>
          </w:tcPr>
          <w:p w14:paraId="7752542D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spacing w:val="-11"/>
                <w:kern w:val="0"/>
                <w:sz w:val="32"/>
                <w:szCs w:val="32"/>
                <w:vertAlign w:val="baseline"/>
                <w:lang w:eastAsia="zh-CN"/>
              </w:rPr>
              <w:t>浙江越秀外国语学院</w:t>
            </w:r>
          </w:p>
        </w:tc>
        <w:tc>
          <w:tcPr>
            <w:tcW w:w="3455" w:type="dxa"/>
            <w:vMerge w:val="continue"/>
            <w:vAlign w:val="center"/>
          </w:tcPr>
          <w:p w14:paraId="0863427C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447" w:type="dxa"/>
            <w:vMerge w:val="continue"/>
            <w:vAlign w:val="center"/>
          </w:tcPr>
          <w:p w14:paraId="62E42A8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4606E88E">
      <w:pPr>
        <w:keepNext w:val="0"/>
        <w:keepLines w:val="0"/>
        <w:pageBreakBefore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</w:p>
    <w:p w14:paraId="0B8E202F">
      <w:pPr>
        <w:keepNext w:val="0"/>
        <w:keepLines w:val="0"/>
        <w:pageBreakBefore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  <w:t>四、浙江省健康养老服务专门人才培养项目</w:t>
      </w:r>
    </w:p>
    <w:tbl>
      <w:tblPr>
        <w:tblStyle w:val="4"/>
        <w:tblW w:w="91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6"/>
        <w:gridCol w:w="3585"/>
        <w:gridCol w:w="2531"/>
      </w:tblGrid>
      <w:tr w14:paraId="260A9F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3026" w:type="dxa"/>
            <w:vAlign w:val="center"/>
          </w:tcPr>
          <w:p w14:paraId="0AF0D16F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实施高校（不仅限于）</w:t>
            </w:r>
          </w:p>
        </w:tc>
        <w:tc>
          <w:tcPr>
            <w:tcW w:w="3585" w:type="dxa"/>
            <w:vAlign w:val="center"/>
          </w:tcPr>
          <w:p w14:paraId="3AF8AF03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留学专业</w:t>
            </w:r>
          </w:p>
        </w:tc>
        <w:tc>
          <w:tcPr>
            <w:tcW w:w="2531" w:type="dxa"/>
            <w:vAlign w:val="center"/>
          </w:tcPr>
          <w:p w14:paraId="69859CA8">
            <w:pPr>
              <w:keepNext w:val="0"/>
              <w:keepLines w:val="0"/>
              <w:pageBreakBefore w:val="0"/>
              <w:widowControl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after="0" w:line="4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val="en-US" w:eastAsia="zh-CN"/>
              </w:rPr>
              <w:t>年度选派名额</w:t>
            </w:r>
          </w:p>
        </w:tc>
      </w:tr>
      <w:tr w14:paraId="7454C8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3026" w:type="dxa"/>
            <w:vAlign w:val="center"/>
          </w:tcPr>
          <w:p w14:paraId="5F2EF8DB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浙江中医药大学</w:t>
            </w:r>
          </w:p>
        </w:tc>
        <w:tc>
          <w:tcPr>
            <w:tcW w:w="3585" w:type="dxa"/>
            <w:vMerge w:val="restart"/>
            <w:vAlign w:val="center"/>
          </w:tcPr>
          <w:p w14:paraId="0502C06C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中医学、中医药信息学、临床医学、</w:t>
            </w: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护理学、临床医学、</w:t>
            </w: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护理学</w:t>
            </w:r>
          </w:p>
        </w:tc>
        <w:tc>
          <w:tcPr>
            <w:tcW w:w="2531" w:type="dxa"/>
            <w:vMerge w:val="restart"/>
            <w:vAlign w:val="center"/>
          </w:tcPr>
          <w:p w14:paraId="6C7F634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</w:tr>
      <w:tr w14:paraId="2BE802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  <w:jc w:val="center"/>
        </w:trPr>
        <w:tc>
          <w:tcPr>
            <w:tcW w:w="3026" w:type="dxa"/>
            <w:vAlign w:val="center"/>
          </w:tcPr>
          <w:p w14:paraId="0E0022F8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温州医科大学</w:t>
            </w:r>
          </w:p>
        </w:tc>
        <w:tc>
          <w:tcPr>
            <w:tcW w:w="3585" w:type="dxa"/>
            <w:vMerge w:val="continue"/>
            <w:vAlign w:val="center"/>
          </w:tcPr>
          <w:p w14:paraId="1371782F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531" w:type="dxa"/>
            <w:vMerge w:val="continue"/>
            <w:vAlign w:val="center"/>
          </w:tcPr>
          <w:p w14:paraId="2A47B95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7464FA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026" w:type="dxa"/>
            <w:vAlign w:val="center"/>
          </w:tcPr>
          <w:p w14:paraId="2AD47559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浙江树人学院</w:t>
            </w:r>
          </w:p>
        </w:tc>
        <w:tc>
          <w:tcPr>
            <w:tcW w:w="3585" w:type="dxa"/>
            <w:vMerge w:val="continue"/>
            <w:vAlign w:val="center"/>
          </w:tcPr>
          <w:p w14:paraId="1AF97F2D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531" w:type="dxa"/>
            <w:vMerge w:val="continue"/>
            <w:vAlign w:val="center"/>
          </w:tcPr>
          <w:p w14:paraId="1471886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39D981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026" w:type="dxa"/>
            <w:vAlign w:val="center"/>
          </w:tcPr>
          <w:p w14:paraId="6E14CEEE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绍兴文理学院</w:t>
            </w:r>
          </w:p>
        </w:tc>
        <w:tc>
          <w:tcPr>
            <w:tcW w:w="3585" w:type="dxa"/>
            <w:vMerge w:val="continue"/>
            <w:vAlign w:val="center"/>
          </w:tcPr>
          <w:p w14:paraId="6FA82ECE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531" w:type="dxa"/>
            <w:vMerge w:val="continue"/>
            <w:vAlign w:val="center"/>
          </w:tcPr>
          <w:p w14:paraId="7C2BDAA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7B6CDEDE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</w:p>
    <w:p w14:paraId="5F7A81D0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  <w:t>五、浙江省“智能交通”创新人才梯队培养计划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1"/>
        <w:gridCol w:w="4030"/>
        <w:gridCol w:w="2051"/>
      </w:tblGrid>
      <w:tr w14:paraId="3D162F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3121" w:type="dxa"/>
          </w:tcPr>
          <w:p w14:paraId="17F540D8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实施高校（不仅限于）</w:t>
            </w:r>
          </w:p>
        </w:tc>
        <w:tc>
          <w:tcPr>
            <w:tcW w:w="4030" w:type="dxa"/>
          </w:tcPr>
          <w:p w14:paraId="051C0306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留学专业</w:t>
            </w:r>
          </w:p>
        </w:tc>
        <w:tc>
          <w:tcPr>
            <w:tcW w:w="2051" w:type="dxa"/>
          </w:tcPr>
          <w:p w14:paraId="5041469A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val="en-US" w:eastAsia="zh-CN"/>
              </w:rPr>
              <w:t>年度选派名额</w:t>
            </w:r>
          </w:p>
        </w:tc>
      </w:tr>
      <w:tr w14:paraId="23D3DE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3121" w:type="dxa"/>
            <w:vAlign w:val="center"/>
          </w:tcPr>
          <w:p w14:paraId="40F9FA5D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浙江理工大学</w:t>
            </w:r>
          </w:p>
        </w:tc>
        <w:tc>
          <w:tcPr>
            <w:tcW w:w="4030" w:type="dxa"/>
            <w:vMerge w:val="restart"/>
            <w:vAlign w:val="center"/>
          </w:tcPr>
          <w:p w14:paraId="2397CAA9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计算机科学与技术、交通运输工程、信息与通信工程</w:t>
            </w:r>
          </w:p>
        </w:tc>
        <w:tc>
          <w:tcPr>
            <w:tcW w:w="2051" w:type="dxa"/>
            <w:vMerge w:val="restart"/>
            <w:vAlign w:val="center"/>
          </w:tcPr>
          <w:p w14:paraId="0429896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</w:tr>
      <w:tr w14:paraId="4DA154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3121" w:type="dxa"/>
            <w:vAlign w:val="center"/>
          </w:tcPr>
          <w:p w14:paraId="03D9731B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湖州师范学院</w:t>
            </w:r>
          </w:p>
        </w:tc>
        <w:tc>
          <w:tcPr>
            <w:tcW w:w="4030" w:type="dxa"/>
            <w:vMerge w:val="continue"/>
            <w:vAlign w:val="center"/>
          </w:tcPr>
          <w:p w14:paraId="072DCACE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051" w:type="dxa"/>
            <w:vMerge w:val="continue"/>
            <w:vAlign w:val="center"/>
          </w:tcPr>
          <w:p w14:paraId="11A6A46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eastAsia="仿宋_GB2312" w:cs="Times New Roman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2A45E272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</w:p>
    <w:p w14:paraId="4B8905CF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  <w:t>六、浙江省“国际传播”人才队伍建设工程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9"/>
        <w:gridCol w:w="3068"/>
        <w:gridCol w:w="2823"/>
      </w:tblGrid>
      <w:tr w14:paraId="19EF03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3089" w:type="dxa"/>
          </w:tcPr>
          <w:p w14:paraId="29B92AC1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实施高校（不仅限于）</w:t>
            </w:r>
          </w:p>
        </w:tc>
        <w:tc>
          <w:tcPr>
            <w:tcW w:w="3068" w:type="dxa"/>
          </w:tcPr>
          <w:p w14:paraId="65A291B3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留学专业</w:t>
            </w:r>
          </w:p>
        </w:tc>
        <w:tc>
          <w:tcPr>
            <w:tcW w:w="2823" w:type="dxa"/>
          </w:tcPr>
          <w:p w14:paraId="55D6302E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val="en-US" w:eastAsia="zh-CN"/>
              </w:rPr>
              <w:t>年度选派名额</w:t>
            </w:r>
          </w:p>
        </w:tc>
      </w:tr>
      <w:tr w14:paraId="3E8B46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2" w:hRule="atLeast"/>
          <w:jc w:val="center"/>
        </w:trPr>
        <w:tc>
          <w:tcPr>
            <w:tcW w:w="3089" w:type="dxa"/>
            <w:vAlign w:val="center"/>
          </w:tcPr>
          <w:p w14:paraId="4FE5CA54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浙江经贸职业技术学院</w:t>
            </w:r>
          </w:p>
        </w:tc>
        <w:tc>
          <w:tcPr>
            <w:tcW w:w="3068" w:type="dxa"/>
            <w:vMerge w:val="restart"/>
            <w:vAlign w:val="center"/>
          </w:tcPr>
          <w:p w14:paraId="2907F665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外国语言文学、新闻传播学</w:t>
            </w:r>
          </w:p>
        </w:tc>
        <w:tc>
          <w:tcPr>
            <w:tcW w:w="2823" w:type="dxa"/>
            <w:vMerge w:val="restart"/>
            <w:vAlign w:val="center"/>
          </w:tcPr>
          <w:p w14:paraId="7C46A87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</w:tr>
      <w:tr w14:paraId="712D5B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2" w:hRule="atLeast"/>
          <w:jc w:val="center"/>
        </w:trPr>
        <w:tc>
          <w:tcPr>
            <w:tcW w:w="3089" w:type="dxa"/>
            <w:vAlign w:val="center"/>
          </w:tcPr>
          <w:p w14:paraId="30A800EF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浙江传媒学院</w:t>
            </w:r>
          </w:p>
        </w:tc>
        <w:tc>
          <w:tcPr>
            <w:tcW w:w="3068" w:type="dxa"/>
            <w:vMerge w:val="continue"/>
            <w:vAlign w:val="center"/>
          </w:tcPr>
          <w:p w14:paraId="2195FD82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823" w:type="dxa"/>
            <w:vMerge w:val="continue"/>
            <w:vAlign w:val="center"/>
          </w:tcPr>
          <w:p w14:paraId="310D9E2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251DD8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2" w:hRule="atLeast"/>
          <w:jc w:val="center"/>
        </w:trPr>
        <w:tc>
          <w:tcPr>
            <w:tcW w:w="3089" w:type="dxa"/>
            <w:vAlign w:val="center"/>
          </w:tcPr>
          <w:p w14:paraId="2D21668F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浙江外国语学院</w:t>
            </w:r>
          </w:p>
        </w:tc>
        <w:tc>
          <w:tcPr>
            <w:tcW w:w="3068" w:type="dxa"/>
            <w:vMerge w:val="continue"/>
            <w:vAlign w:val="center"/>
          </w:tcPr>
          <w:p w14:paraId="31091215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823" w:type="dxa"/>
            <w:vMerge w:val="continue"/>
            <w:vAlign w:val="center"/>
          </w:tcPr>
          <w:p w14:paraId="665E9D5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3B3E8DB1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</w:p>
    <w:p w14:paraId="596BFFB9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  <w:t>七、浙江省“时尚之都”复合型人才培养工程项目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6"/>
        <w:gridCol w:w="3261"/>
        <w:gridCol w:w="2677"/>
      </w:tblGrid>
      <w:tr w14:paraId="0D6CF3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3206" w:type="dxa"/>
          </w:tcPr>
          <w:p w14:paraId="16682E5F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实施高校（不仅限于）</w:t>
            </w:r>
          </w:p>
        </w:tc>
        <w:tc>
          <w:tcPr>
            <w:tcW w:w="3261" w:type="dxa"/>
          </w:tcPr>
          <w:p w14:paraId="141CF65D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  <w:t>留学专业</w:t>
            </w:r>
          </w:p>
        </w:tc>
        <w:tc>
          <w:tcPr>
            <w:tcW w:w="2677" w:type="dxa"/>
          </w:tcPr>
          <w:p w14:paraId="0D05BF30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0"/>
                <w:szCs w:val="30"/>
                <w:vertAlign w:val="baseline"/>
                <w:lang w:val="en-US" w:eastAsia="zh-CN"/>
              </w:rPr>
              <w:t>年度选派名额</w:t>
            </w:r>
          </w:p>
        </w:tc>
      </w:tr>
      <w:tr w14:paraId="2116F2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3206" w:type="dxa"/>
            <w:vAlign w:val="center"/>
          </w:tcPr>
          <w:p w14:paraId="281ECE00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浙大宁波理工学院</w:t>
            </w:r>
          </w:p>
        </w:tc>
        <w:tc>
          <w:tcPr>
            <w:tcW w:w="3261" w:type="dxa"/>
            <w:vMerge w:val="restart"/>
            <w:vAlign w:val="center"/>
          </w:tcPr>
          <w:p w14:paraId="49659D18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纺织科学与工程、设计学</w:t>
            </w:r>
          </w:p>
        </w:tc>
        <w:tc>
          <w:tcPr>
            <w:tcW w:w="2677" w:type="dxa"/>
            <w:vMerge w:val="restart"/>
            <w:vAlign w:val="center"/>
          </w:tcPr>
          <w:p w14:paraId="1EEF91A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eastAsia="仿宋_GB2312" w:cs="Times New Roman"/>
                <w:b/>
                <w:bCs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eastAsia="仿宋_GB2312" w:cs="Times New Roman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</w:tr>
      <w:tr w14:paraId="293F92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3206" w:type="dxa"/>
            <w:vAlign w:val="center"/>
          </w:tcPr>
          <w:p w14:paraId="3428FFA1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义乌工商职业技术学院</w:t>
            </w:r>
          </w:p>
        </w:tc>
        <w:tc>
          <w:tcPr>
            <w:tcW w:w="3261" w:type="dxa"/>
            <w:vMerge w:val="continue"/>
            <w:vAlign w:val="center"/>
          </w:tcPr>
          <w:p w14:paraId="3F3B69F7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77" w:type="dxa"/>
            <w:vMerge w:val="continue"/>
            <w:vAlign w:val="center"/>
          </w:tcPr>
          <w:p w14:paraId="1E35634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eastAsia="仿宋_GB2312" w:cs="Times New Roman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064E87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3206" w:type="dxa"/>
            <w:vAlign w:val="center"/>
          </w:tcPr>
          <w:p w14:paraId="6D34701A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浙江理工大学</w:t>
            </w:r>
          </w:p>
        </w:tc>
        <w:tc>
          <w:tcPr>
            <w:tcW w:w="3261" w:type="dxa"/>
            <w:vMerge w:val="continue"/>
            <w:vAlign w:val="center"/>
          </w:tcPr>
          <w:p w14:paraId="426B596E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77" w:type="dxa"/>
            <w:vMerge w:val="continue"/>
            <w:vAlign w:val="center"/>
          </w:tcPr>
          <w:p w14:paraId="517EC62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eastAsia="仿宋_GB2312" w:cs="Times New Roman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557C3C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3206" w:type="dxa"/>
            <w:vAlign w:val="center"/>
          </w:tcPr>
          <w:p w14:paraId="75020C7A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浙江传媒学院</w:t>
            </w:r>
          </w:p>
        </w:tc>
        <w:tc>
          <w:tcPr>
            <w:tcW w:w="3261" w:type="dxa"/>
            <w:vMerge w:val="continue"/>
            <w:vAlign w:val="center"/>
          </w:tcPr>
          <w:p w14:paraId="224C0701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77" w:type="dxa"/>
            <w:vMerge w:val="continue"/>
            <w:vAlign w:val="center"/>
          </w:tcPr>
          <w:p w14:paraId="6A40AB1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eastAsia="仿宋_GB2312" w:cs="Times New Roman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 w14:paraId="0D70A7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3206" w:type="dxa"/>
            <w:vAlign w:val="center"/>
          </w:tcPr>
          <w:p w14:paraId="073E63E8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  <w:t>宁波财经学院</w:t>
            </w:r>
          </w:p>
        </w:tc>
        <w:tc>
          <w:tcPr>
            <w:tcW w:w="3261" w:type="dxa"/>
            <w:vMerge w:val="continue"/>
            <w:vAlign w:val="center"/>
          </w:tcPr>
          <w:p w14:paraId="403AAF3A">
            <w:pPr>
              <w:keepNext w:val="0"/>
              <w:keepLines w:val="0"/>
              <w:pageBreakBefore w:val="0"/>
              <w:tabs>
                <w:tab w:val="left" w:pos="2225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pacing w:after="0" w:line="560" w:lineRule="exact"/>
              <w:jc w:val="center"/>
              <w:textAlignment w:val="auto"/>
              <w:rPr>
                <w:rFonts w:hint="eastAsia" w:eastAsia="仿宋_GB2312" w:cs="Times New Roman"/>
                <w:color w:val="000000"/>
                <w:kern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77" w:type="dxa"/>
            <w:vMerge w:val="continue"/>
            <w:vAlign w:val="center"/>
          </w:tcPr>
          <w:p w14:paraId="1B03CDF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 w:val="0"/>
              <w:topLinePunct w:val="0"/>
              <w:autoSpaceDE/>
              <w:autoSpaceDN/>
              <w:bidi w:val="0"/>
              <w:adjustRightInd/>
              <w:snapToGrid/>
              <w:spacing w:after="0"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eastAsia="仿宋_GB2312" w:cs="Times New Roman"/>
                <w:color w:val="000000"/>
                <w:kern w:val="0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 w14:paraId="679AB867">
      <w:pPr>
        <w:keepNext w:val="0"/>
        <w:keepLines w:val="0"/>
        <w:pageBreakBefore w:val="0"/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after="0" w:line="56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eastAsia="zh-CN"/>
        </w:rPr>
        <w:sectPr>
          <w:pgSz w:w="11906" w:h="16838"/>
          <w:pgMar w:top="1928" w:right="1531" w:bottom="1928" w:left="1531" w:header="851" w:footer="147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 w:chapSep="hyphen"/>
          <w:cols w:space="720" w:num="1"/>
          <w:rtlGutter w:val="0"/>
          <w:docGrid w:type="lines" w:linePitch="312" w:charSpace="0"/>
        </w:sectPr>
      </w:pPr>
      <w:bookmarkStart w:id="1" w:name="_GoBack"/>
      <w:bookmarkEnd w:id="1"/>
    </w:p>
    <w:p w14:paraId="170514F8">
      <w:pPr>
        <w:keepNext w:val="0"/>
        <w:keepLines w:val="0"/>
        <w:pageBreakBefore w:val="0"/>
        <w:tabs>
          <w:tab w:val="left" w:pos="2225"/>
        </w:tabs>
        <w:kinsoku/>
        <w:wordWrap/>
        <w:overflowPunct w:val="0"/>
        <w:topLinePunct w:val="0"/>
        <w:autoSpaceDE w:val="0"/>
        <w:autoSpaceDN w:val="0"/>
        <w:bidi w:val="0"/>
        <w:adjustRightInd w:val="0"/>
        <w:spacing w:beforeLines="0" w:after="0" w:line="580" w:lineRule="exact"/>
        <w:jc w:val="left"/>
        <w:textAlignment w:val="auto"/>
        <w:rPr>
          <w:rFonts w:hint="eastAsia" w:eastAsia="黑体"/>
          <w:color w:val="000000"/>
          <w:kern w:val="0"/>
          <w:sz w:val="32"/>
          <w:szCs w:val="32"/>
          <w:lang w:val="en-US" w:eastAsia="zh-CN"/>
        </w:rPr>
      </w:pPr>
    </w:p>
    <w:p w14:paraId="478A14F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33E2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59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2025-03-24T06:32:42Z</dcterms:created>
  <dc:creator>admin</dc:creator>
  <cp:lastModifiedBy>含冰</cp:lastModifiedBy>
  <dcterms:modified xsi:type="dcterms:W3CDTF">2025-03-24T06:33:06Z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eyJoZGlkIjoiODRhNTNmOWE5ZThiYTAwY2UyZWY0MTdlZTRjYjVmZDYiLCJ1c2VySWQiOiI0MTE3OTAxNzgifQ==</vt:lpwstr>
  </property>
  <property fmtid="{D5CDD505-2E9C-101B-9397-08002B2CF9AE}" pid="4" name="ICV">
    <vt:lpwstr>D0D686FFA81D46E39A567C4393D33379_12</vt:lpwstr>
  </property>
</Properties>
</file>